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D3344">
      <w:pPr>
        <w:tabs>
          <w:tab w:val="left" w:pos="3990"/>
        </w:tabs>
        <w:spacing w:line="360" w:lineRule="auto"/>
        <w:jc w:val="center"/>
        <w:rPr>
          <w:rFonts w:hint="default"/>
          <w:b/>
          <w:bCs/>
          <w:vertAlign w:val="baseline"/>
          <w:lang w:val="en-US" w:eastAsia="zh-CN"/>
        </w:rPr>
      </w:pPr>
      <w:r>
        <w:rPr>
          <w:rFonts w:hint="eastAsia" w:ascii="黑体" w:hAnsi="黑体" w:eastAsia="黑体" w:cs="黑体"/>
          <w:b/>
          <w:bCs/>
          <w:sz w:val="36"/>
          <w:szCs w:val="36"/>
          <w:vertAlign w:val="baseline"/>
          <w:lang w:val="en-US" w:eastAsia="zh-CN"/>
        </w:rPr>
        <w:t>医德医风廉洁档案信息系统技术参数</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85"/>
        <w:gridCol w:w="1500"/>
        <w:gridCol w:w="4457"/>
      </w:tblGrid>
      <w:tr w14:paraId="0484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7" w:type="dxa"/>
            <w:shd w:val="clear" w:color="auto" w:fill="F1F1F1" w:themeFill="background1" w:themeFillShade="F2"/>
            <w:vAlign w:val="center"/>
          </w:tcPr>
          <w:p w14:paraId="4FCB68E8">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285" w:type="dxa"/>
            <w:shd w:val="clear" w:color="auto" w:fill="F1F1F1" w:themeFill="background1" w:themeFillShade="F2"/>
            <w:vAlign w:val="center"/>
          </w:tcPr>
          <w:p w14:paraId="1B787621">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功能类别</w:t>
            </w:r>
          </w:p>
        </w:tc>
        <w:tc>
          <w:tcPr>
            <w:tcW w:w="1500" w:type="dxa"/>
            <w:shd w:val="clear" w:color="auto" w:fill="F1F1F1" w:themeFill="background1" w:themeFillShade="F2"/>
            <w:vAlign w:val="center"/>
          </w:tcPr>
          <w:p w14:paraId="6D9FFC01">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功能名称</w:t>
            </w:r>
          </w:p>
        </w:tc>
        <w:tc>
          <w:tcPr>
            <w:tcW w:w="4457" w:type="dxa"/>
            <w:shd w:val="clear" w:color="auto" w:fill="F1F1F1" w:themeFill="background1" w:themeFillShade="F2"/>
            <w:vAlign w:val="center"/>
          </w:tcPr>
          <w:p w14:paraId="35CDA53D">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r>
      <w:tr w14:paraId="5D24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E76FCF1">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restart"/>
            <w:vAlign w:val="center"/>
          </w:tcPr>
          <w:p w14:paraId="4A7EB64C">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医德医风组织管理</w:t>
            </w:r>
          </w:p>
        </w:tc>
        <w:tc>
          <w:tcPr>
            <w:tcW w:w="1500" w:type="dxa"/>
            <w:vMerge w:val="restart"/>
            <w:vAlign w:val="center"/>
          </w:tcPr>
          <w:p w14:paraId="37BC0590">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组织架构管理</w:t>
            </w:r>
          </w:p>
        </w:tc>
        <w:tc>
          <w:tcPr>
            <w:tcW w:w="4457" w:type="dxa"/>
            <w:vAlign w:val="center"/>
          </w:tcPr>
          <w:p w14:paraId="00DC123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支持维护全院医院医德医风组织架构，包括院级医德考评小组、各职能部门、以及临床医技科室等。</w:t>
            </w:r>
          </w:p>
        </w:tc>
      </w:tr>
      <w:tr w14:paraId="4D74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5135137">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4BD74021">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70E4E3A9">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208E6161">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支持管理部门、人员、人员账号及权限，一人可属于多个部门。</w:t>
            </w:r>
          </w:p>
        </w:tc>
      </w:tr>
      <w:tr w14:paraId="3919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6CEB15D7">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0C5F7963">
            <w:pPr>
              <w:spacing w:line="360" w:lineRule="auto"/>
              <w:jc w:val="center"/>
              <w:rPr>
                <w:rFonts w:hint="eastAsia" w:ascii="宋体" w:hAnsi="宋体" w:eastAsia="宋体" w:cs="宋体"/>
                <w:sz w:val="24"/>
                <w:szCs w:val="24"/>
                <w:vertAlign w:val="baseline"/>
                <w:lang w:val="en-US" w:eastAsia="zh-CN"/>
              </w:rPr>
            </w:pPr>
          </w:p>
        </w:tc>
        <w:tc>
          <w:tcPr>
            <w:tcW w:w="1500" w:type="dxa"/>
            <w:vAlign w:val="center"/>
          </w:tcPr>
          <w:p w14:paraId="5E4E0371">
            <w:pPr>
              <w:keepNext w:val="0"/>
              <w:keepLines w:val="0"/>
              <w:widowControl/>
              <w:suppressLineNumbers w:val="0"/>
              <w:spacing w:line="360" w:lineRule="auto"/>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角色管理</w:t>
            </w:r>
          </w:p>
        </w:tc>
        <w:tc>
          <w:tcPr>
            <w:tcW w:w="4457" w:type="dxa"/>
            <w:vAlign w:val="center"/>
          </w:tcPr>
          <w:p w14:paraId="5078428A">
            <w:pPr>
              <w:keepNext w:val="0"/>
              <w:keepLines w:val="0"/>
              <w:widowControl/>
              <w:suppressLineNumbers w:val="0"/>
              <w:spacing w:line="360" w:lineRule="auto"/>
              <w:jc w:val="both"/>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支持角色权限管理</w:t>
            </w:r>
          </w:p>
        </w:tc>
      </w:tr>
      <w:tr w14:paraId="5843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4135B882">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4BF06001">
            <w:pPr>
              <w:spacing w:line="360" w:lineRule="auto"/>
              <w:jc w:val="center"/>
              <w:rPr>
                <w:rFonts w:hint="eastAsia" w:ascii="宋体" w:hAnsi="宋体" w:eastAsia="宋体" w:cs="宋体"/>
                <w:sz w:val="24"/>
                <w:szCs w:val="24"/>
                <w:vertAlign w:val="baseline"/>
                <w:lang w:val="en-US" w:eastAsia="zh-CN"/>
              </w:rPr>
            </w:pPr>
          </w:p>
        </w:tc>
        <w:tc>
          <w:tcPr>
            <w:tcW w:w="1500" w:type="dxa"/>
            <w:vAlign w:val="center"/>
          </w:tcPr>
          <w:p w14:paraId="06BAFBFE">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廉政档案管理</w:t>
            </w:r>
          </w:p>
        </w:tc>
        <w:tc>
          <w:tcPr>
            <w:tcW w:w="4457" w:type="dxa"/>
            <w:vAlign w:val="center"/>
          </w:tcPr>
          <w:p w14:paraId="41BEC877">
            <w:pPr>
              <w:keepNext w:val="0"/>
              <w:keepLines w:val="0"/>
              <w:widowControl/>
              <w:suppressLineNumbers w:val="0"/>
              <w:spacing w:line="360" w:lineRule="auto"/>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支持对中层干部建立廉政档案</w:t>
            </w:r>
          </w:p>
        </w:tc>
      </w:tr>
      <w:tr w14:paraId="40BD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C828968">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restart"/>
            <w:vAlign w:val="center"/>
          </w:tcPr>
          <w:p w14:paraId="7723F7BF">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基础信息</w:t>
            </w:r>
            <w:bookmarkStart w:id="0" w:name="_GoBack"/>
            <w:bookmarkEnd w:id="0"/>
            <w:r>
              <w:rPr>
                <w:rFonts w:hint="eastAsia" w:ascii="宋体" w:hAnsi="宋体" w:eastAsia="宋体" w:cs="宋体"/>
                <w:sz w:val="24"/>
                <w:szCs w:val="24"/>
                <w:vertAlign w:val="baseline"/>
                <w:lang w:val="en-US" w:eastAsia="zh-CN"/>
              </w:rPr>
              <w:t>维护</w:t>
            </w:r>
          </w:p>
        </w:tc>
        <w:tc>
          <w:tcPr>
            <w:tcW w:w="1500" w:type="dxa"/>
            <w:vMerge w:val="restart"/>
            <w:vAlign w:val="center"/>
          </w:tcPr>
          <w:p w14:paraId="44FD5C03">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考评标准管理</w:t>
            </w:r>
          </w:p>
        </w:tc>
        <w:tc>
          <w:tcPr>
            <w:tcW w:w="4457" w:type="dxa"/>
            <w:vAlign w:val="center"/>
          </w:tcPr>
          <w:p w14:paraId="255A8A25">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w:t>
            </w:r>
            <w:r>
              <w:rPr>
                <w:rFonts w:hint="eastAsia" w:ascii="宋体" w:hAnsi="宋体" w:eastAsia="宋体" w:cs="宋体"/>
                <w:b w:val="0"/>
                <w:bCs w:val="0"/>
                <w:sz w:val="24"/>
                <w:szCs w:val="24"/>
                <w:vertAlign w:val="baseline"/>
              </w:rPr>
              <w:t>系统内置《医务人员医德考评量化评分细则》</w:t>
            </w:r>
            <w:r>
              <w:rPr>
                <w:rFonts w:hint="eastAsia" w:ascii="宋体" w:hAnsi="宋体" w:eastAsia="宋体" w:cs="宋体"/>
                <w:b w:val="0"/>
                <w:bCs w:val="0"/>
                <w:sz w:val="24"/>
                <w:szCs w:val="24"/>
                <w:vertAlign w:val="baseline"/>
                <w:lang w:eastAsia="zh-CN"/>
              </w:rPr>
              <w:t>，医院也可根据医院实际情况进行添加或调整，满足医院个性化管理需要。</w:t>
            </w:r>
          </w:p>
        </w:tc>
      </w:tr>
      <w:tr w14:paraId="7182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4523DE3E">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55240188">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2186969E">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10D9FBF2">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支持添加、编辑、删除考评标准</w:t>
            </w:r>
          </w:p>
        </w:tc>
      </w:tr>
      <w:tr w14:paraId="3636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2B5D0E3">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43BE1F03">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6089FECD">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6D73209C">
            <w:pPr>
              <w:spacing w:line="360" w:lineRule="auto"/>
              <w:jc w:val="both"/>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支持设置考评标准的打印样式。</w:t>
            </w:r>
          </w:p>
        </w:tc>
      </w:tr>
      <w:tr w14:paraId="5A24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30531945">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1FB1379B">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2E91EE1A">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1942A77A">
            <w:pPr>
              <w:spacing w:line="360" w:lineRule="auto"/>
              <w:jc w:val="both"/>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支持从组织架构选择考评涉及人员</w:t>
            </w:r>
          </w:p>
        </w:tc>
      </w:tr>
      <w:tr w14:paraId="3971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3FC14BCD">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54730088">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0FFE0F4C">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5A60FD50">
            <w:pPr>
              <w:spacing w:line="360" w:lineRule="auto"/>
              <w:jc w:val="both"/>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支持从考评项库中选择添加考评项</w:t>
            </w:r>
          </w:p>
        </w:tc>
      </w:tr>
      <w:tr w14:paraId="34B6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33A9945B">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6011A547">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40BD9757">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0FBC4C04">
            <w:pPr>
              <w:spacing w:line="360"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支持搜索考评项</w:t>
            </w:r>
          </w:p>
        </w:tc>
      </w:tr>
      <w:tr w14:paraId="6B95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640A2B8F">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5BB9DFBE">
            <w:pPr>
              <w:spacing w:line="360" w:lineRule="auto"/>
              <w:jc w:val="center"/>
              <w:rPr>
                <w:rFonts w:hint="eastAsia" w:ascii="宋体" w:hAnsi="宋体" w:eastAsia="宋体" w:cs="宋体"/>
                <w:sz w:val="24"/>
                <w:szCs w:val="24"/>
                <w:vertAlign w:val="baseline"/>
              </w:rPr>
            </w:pPr>
          </w:p>
        </w:tc>
        <w:tc>
          <w:tcPr>
            <w:tcW w:w="1500" w:type="dxa"/>
            <w:vMerge w:val="restart"/>
            <w:vAlign w:val="center"/>
          </w:tcPr>
          <w:p w14:paraId="36C478BB">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考评项目管理</w:t>
            </w:r>
          </w:p>
        </w:tc>
        <w:tc>
          <w:tcPr>
            <w:tcW w:w="4457" w:type="dxa"/>
            <w:vAlign w:val="center"/>
          </w:tcPr>
          <w:p w14:paraId="16129733">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支持管理考评项目，包括各项目的名称、分值、一票否决、封顶分等。</w:t>
            </w:r>
          </w:p>
        </w:tc>
      </w:tr>
      <w:tr w14:paraId="086D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3E19DD66">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44CFBA3F">
            <w:pPr>
              <w:spacing w:line="360" w:lineRule="auto"/>
              <w:jc w:val="center"/>
              <w:rPr>
                <w:rFonts w:hint="eastAsia" w:ascii="宋体" w:hAnsi="宋体" w:eastAsia="宋体" w:cs="宋体"/>
                <w:sz w:val="24"/>
                <w:szCs w:val="24"/>
                <w:vertAlign w:val="baseline"/>
              </w:rPr>
            </w:pPr>
          </w:p>
        </w:tc>
        <w:tc>
          <w:tcPr>
            <w:tcW w:w="1500" w:type="dxa"/>
            <w:vMerge w:val="continue"/>
            <w:vAlign w:val="center"/>
          </w:tcPr>
          <w:p w14:paraId="721C0344">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57DDE5BB">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支持维护考评项类别</w:t>
            </w:r>
          </w:p>
        </w:tc>
      </w:tr>
      <w:tr w14:paraId="12AA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453212A">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3E5ABBD1">
            <w:pPr>
              <w:spacing w:line="360" w:lineRule="auto"/>
              <w:jc w:val="center"/>
              <w:rPr>
                <w:rFonts w:hint="eastAsia" w:ascii="宋体" w:hAnsi="宋体" w:eastAsia="宋体" w:cs="宋体"/>
                <w:sz w:val="24"/>
                <w:szCs w:val="24"/>
                <w:vertAlign w:val="baseline"/>
              </w:rPr>
            </w:pPr>
          </w:p>
        </w:tc>
        <w:tc>
          <w:tcPr>
            <w:tcW w:w="1500" w:type="dxa"/>
            <w:vMerge w:val="continue"/>
            <w:vAlign w:val="center"/>
          </w:tcPr>
          <w:p w14:paraId="77CE958B">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563EFEC8">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支持维护考评项属性</w:t>
            </w:r>
          </w:p>
        </w:tc>
      </w:tr>
      <w:tr w14:paraId="5DB1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612088C4">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3552633B">
            <w:pPr>
              <w:spacing w:line="360" w:lineRule="auto"/>
              <w:jc w:val="center"/>
              <w:rPr>
                <w:rFonts w:hint="eastAsia" w:ascii="宋体" w:hAnsi="宋体" w:eastAsia="宋体" w:cs="宋体"/>
                <w:sz w:val="24"/>
                <w:szCs w:val="24"/>
                <w:vertAlign w:val="baseline"/>
              </w:rPr>
            </w:pPr>
          </w:p>
        </w:tc>
        <w:tc>
          <w:tcPr>
            <w:tcW w:w="1500" w:type="dxa"/>
            <w:vMerge w:val="restart"/>
            <w:vAlign w:val="center"/>
          </w:tcPr>
          <w:p w14:paraId="179840D0">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考评权限管理</w:t>
            </w:r>
          </w:p>
        </w:tc>
        <w:tc>
          <w:tcPr>
            <w:tcW w:w="4457" w:type="dxa"/>
            <w:vAlign w:val="center"/>
          </w:tcPr>
          <w:p w14:paraId="00D772A6">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支持设置医德医风考评模块权限</w:t>
            </w:r>
          </w:p>
        </w:tc>
      </w:tr>
      <w:tr w14:paraId="7A86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1AFEA51F">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0412E038">
            <w:pPr>
              <w:spacing w:line="360" w:lineRule="auto"/>
              <w:jc w:val="center"/>
              <w:rPr>
                <w:rFonts w:hint="eastAsia" w:ascii="宋体" w:hAnsi="宋体" w:eastAsia="宋体" w:cs="宋体"/>
                <w:sz w:val="24"/>
                <w:szCs w:val="24"/>
                <w:vertAlign w:val="baseline"/>
              </w:rPr>
            </w:pPr>
          </w:p>
        </w:tc>
        <w:tc>
          <w:tcPr>
            <w:tcW w:w="1500" w:type="dxa"/>
            <w:vMerge w:val="continue"/>
            <w:vAlign w:val="center"/>
          </w:tcPr>
          <w:p w14:paraId="21A4F12D">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17C4D7B7">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支持批量设置拥有权限的人员</w:t>
            </w:r>
          </w:p>
        </w:tc>
      </w:tr>
      <w:tr w14:paraId="34E3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617AB58">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restart"/>
            <w:vAlign w:val="center"/>
          </w:tcPr>
          <w:p w14:paraId="0E48D565">
            <w:pPr>
              <w:spacing w:line="360" w:lineRule="auto"/>
              <w:jc w:val="center"/>
              <w:rPr>
                <w:rFonts w:hint="eastAsia" w:ascii="宋体" w:hAnsi="宋体" w:eastAsia="宋体" w:cs="宋体"/>
                <w:sz w:val="24"/>
                <w:szCs w:val="24"/>
                <w:highlight w:val="yellow"/>
                <w:vertAlign w:val="baseline"/>
              </w:rPr>
            </w:pPr>
            <w:r>
              <w:rPr>
                <w:rFonts w:hint="eastAsia" w:ascii="宋体" w:hAnsi="宋体" w:eastAsia="宋体" w:cs="宋体"/>
                <w:sz w:val="24"/>
                <w:szCs w:val="24"/>
                <w:vertAlign w:val="baseline"/>
                <w:lang w:val="en-US" w:eastAsia="zh-CN"/>
              </w:rPr>
              <w:t>日常考评</w:t>
            </w:r>
          </w:p>
        </w:tc>
        <w:tc>
          <w:tcPr>
            <w:tcW w:w="1500" w:type="dxa"/>
            <w:vMerge w:val="restart"/>
            <w:vAlign w:val="center"/>
          </w:tcPr>
          <w:p w14:paraId="6AC41543">
            <w:pPr>
              <w:spacing w:line="360" w:lineRule="auto"/>
              <w:jc w:val="center"/>
              <w:rPr>
                <w:rFonts w:hint="eastAsia" w:ascii="宋体" w:hAnsi="宋体" w:eastAsia="宋体" w:cs="宋体"/>
                <w:b w:val="0"/>
                <w:bCs w:val="0"/>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科室日常考评</w:t>
            </w:r>
          </w:p>
        </w:tc>
        <w:tc>
          <w:tcPr>
            <w:tcW w:w="4457" w:type="dxa"/>
            <w:vAlign w:val="center"/>
          </w:tcPr>
          <w:p w14:paraId="47C167B7">
            <w:pPr>
              <w:spacing w:line="360" w:lineRule="auto"/>
              <w:jc w:val="both"/>
              <w:rPr>
                <w:rFonts w:hint="eastAsia" w:ascii="宋体" w:hAnsi="宋体" w:eastAsia="宋体" w:cs="宋体"/>
                <w:b w:val="0"/>
                <w:bCs w:val="0"/>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支持科室考评员根据医务人员日常医德表现，将相关事项对应医德考评标准进行登记</w:t>
            </w:r>
          </w:p>
        </w:tc>
      </w:tr>
      <w:tr w14:paraId="1C50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116577BC">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236F64D8">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44C46C34">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54D5C71C">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登记内容包括事件发生时间、涉及的人员、事件的描述、事件的附属材料或现场图片、考评项目等。</w:t>
            </w:r>
          </w:p>
        </w:tc>
      </w:tr>
      <w:tr w14:paraId="2F9F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3AFD078C">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7DDDC701">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606B4EAD">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2916BD6A">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支持根据标准设定自动计算得分。</w:t>
            </w:r>
          </w:p>
        </w:tc>
      </w:tr>
      <w:tr w14:paraId="640F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6DDB7E0F">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427BB0BB">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0B33F8ED">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5110442C">
            <w:pPr>
              <w:spacing w:line="360"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支持上传图片、附件等内容</w:t>
            </w:r>
          </w:p>
        </w:tc>
      </w:tr>
      <w:tr w14:paraId="4055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4B89B927">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50C489DC">
            <w:pPr>
              <w:spacing w:line="360" w:lineRule="auto"/>
              <w:jc w:val="center"/>
              <w:rPr>
                <w:rFonts w:hint="eastAsia" w:ascii="宋体" w:hAnsi="宋体" w:eastAsia="宋体" w:cs="宋体"/>
                <w:sz w:val="24"/>
                <w:szCs w:val="24"/>
                <w:highlight w:val="yellow"/>
                <w:vertAlign w:val="baseline"/>
              </w:rPr>
            </w:pPr>
          </w:p>
        </w:tc>
        <w:tc>
          <w:tcPr>
            <w:tcW w:w="1500" w:type="dxa"/>
            <w:vMerge w:val="restart"/>
            <w:vAlign w:val="center"/>
          </w:tcPr>
          <w:p w14:paraId="3DB8341B">
            <w:pPr>
              <w:spacing w:line="360" w:lineRule="auto"/>
              <w:jc w:val="center"/>
              <w:rPr>
                <w:rFonts w:hint="eastAsia" w:ascii="宋体" w:hAnsi="宋体" w:eastAsia="宋体" w:cs="宋体"/>
                <w:b w:val="0"/>
                <w:bCs w:val="0"/>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职能部门日常考评</w:t>
            </w:r>
          </w:p>
        </w:tc>
        <w:tc>
          <w:tcPr>
            <w:tcW w:w="4457" w:type="dxa"/>
            <w:vAlign w:val="center"/>
          </w:tcPr>
          <w:p w14:paraId="11DF0A75">
            <w:pPr>
              <w:spacing w:line="360" w:lineRule="auto"/>
              <w:jc w:val="both"/>
              <w:rPr>
                <w:rFonts w:hint="eastAsia" w:ascii="宋体" w:hAnsi="宋体" w:eastAsia="宋体" w:cs="宋体"/>
                <w:b w:val="0"/>
                <w:bCs w:val="0"/>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支持各职能部门对所负责的考核项目，根据医务人员或所在科室上报的有关事项进行登记及审核</w:t>
            </w:r>
          </w:p>
        </w:tc>
      </w:tr>
      <w:tr w14:paraId="7D0D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1209D75F">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21FFF036">
            <w:pPr>
              <w:spacing w:line="360" w:lineRule="auto"/>
              <w:jc w:val="center"/>
              <w:rPr>
                <w:rFonts w:hint="eastAsia" w:ascii="宋体" w:hAnsi="宋体" w:eastAsia="宋体" w:cs="宋体"/>
                <w:sz w:val="24"/>
                <w:szCs w:val="24"/>
                <w:highlight w:val="yellow"/>
                <w:vertAlign w:val="baseline"/>
              </w:rPr>
            </w:pPr>
          </w:p>
        </w:tc>
        <w:tc>
          <w:tcPr>
            <w:tcW w:w="1500" w:type="dxa"/>
            <w:vMerge w:val="continue"/>
            <w:vAlign w:val="center"/>
          </w:tcPr>
          <w:p w14:paraId="23B73352">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1D9E353A">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登记内容包括事件发生时间、涉及的人员、事件的描述、事件的附属材料或现场图片、考评项目等。</w:t>
            </w:r>
          </w:p>
        </w:tc>
      </w:tr>
      <w:tr w14:paraId="6371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1DEB059">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06009C58">
            <w:pPr>
              <w:spacing w:line="360" w:lineRule="auto"/>
              <w:jc w:val="center"/>
              <w:rPr>
                <w:rFonts w:hint="eastAsia" w:ascii="宋体" w:hAnsi="宋体" w:eastAsia="宋体" w:cs="宋体"/>
                <w:sz w:val="24"/>
                <w:szCs w:val="24"/>
                <w:highlight w:val="yellow"/>
                <w:vertAlign w:val="baseline"/>
              </w:rPr>
            </w:pPr>
          </w:p>
        </w:tc>
        <w:tc>
          <w:tcPr>
            <w:tcW w:w="1500" w:type="dxa"/>
            <w:vMerge w:val="continue"/>
            <w:vAlign w:val="center"/>
          </w:tcPr>
          <w:p w14:paraId="37D27695">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09D3A335">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支持根据标准设定自动计算得分。</w:t>
            </w:r>
          </w:p>
        </w:tc>
      </w:tr>
      <w:tr w14:paraId="034F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721D9D0D">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537D64EE">
            <w:pPr>
              <w:spacing w:line="360" w:lineRule="auto"/>
              <w:jc w:val="center"/>
              <w:rPr>
                <w:rFonts w:hint="eastAsia" w:ascii="宋体" w:hAnsi="宋体" w:eastAsia="宋体" w:cs="宋体"/>
                <w:sz w:val="24"/>
                <w:szCs w:val="24"/>
                <w:highlight w:val="yellow"/>
                <w:vertAlign w:val="baseline"/>
              </w:rPr>
            </w:pPr>
          </w:p>
        </w:tc>
        <w:tc>
          <w:tcPr>
            <w:tcW w:w="1500" w:type="dxa"/>
            <w:vMerge w:val="continue"/>
            <w:vAlign w:val="center"/>
          </w:tcPr>
          <w:p w14:paraId="216F4F5F">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30F0F986">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支持上传图片、附件等内容</w:t>
            </w:r>
          </w:p>
        </w:tc>
      </w:tr>
      <w:tr w14:paraId="2851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AEDD17C">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restart"/>
            <w:vAlign w:val="center"/>
          </w:tcPr>
          <w:p w14:paraId="3C6C2F49">
            <w:pPr>
              <w:spacing w:line="360" w:lineRule="auto"/>
              <w:jc w:val="center"/>
              <w:rPr>
                <w:rFonts w:hint="eastAsia" w:ascii="宋体" w:hAnsi="宋体" w:eastAsia="宋体" w:cs="宋体"/>
                <w:sz w:val="24"/>
                <w:szCs w:val="24"/>
                <w:highlight w:val="yellow"/>
                <w:vertAlign w:val="baseline"/>
              </w:rPr>
            </w:pPr>
            <w:r>
              <w:rPr>
                <w:rFonts w:hint="eastAsia" w:ascii="宋体" w:hAnsi="宋体" w:eastAsia="宋体" w:cs="宋体"/>
                <w:sz w:val="24"/>
                <w:szCs w:val="24"/>
                <w:vertAlign w:val="baseline"/>
                <w:lang w:val="en-US" w:eastAsia="zh-CN"/>
              </w:rPr>
              <w:t>阶段性评价</w:t>
            </w:r>
          </w:p>
        </w:tc>
        <w:tc>
          <w:tcPr>
            <w:tcW w:w="1500" w:type="dxa"/>
            <w:vMerge w:val="restart"/>
            <w:vAlign w:val="center"/>
          </w:tcPr>
          <w:p w14:paraId="7ADDE6E3">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rPr>
              <w:t>医务人员自我评价</w:t>
            </w:r>
          </w:p>
        </w:tc>
        <w:tc>
          <w:tcPr>
            <w:tcW w:w="4457" w:type="dxa"/>
            <w:vAlign w:val="center"/>
          </w:tcPr>
          <w:p w14:paraId="359C430D">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w:t>
            </w:r>
            <w:r>
              <w:rPr>
                <w:rFonts w:hint="eastAsia" w:ascii="宋体" w:hAnsi="宋体" w:eastAsia="宋体" w:cs="宋体"/>
                <w:b w:val="0"/>
                <w:bCs w:val="0"/>
                <w:sz w:val="24"/>
                <w:szCs w:val="24"/>
                <w:vertAlign w:val="baseline"/>
              </w:rPr>
              <w:t>医务人员参照阶段内科室及院级考评内容，对自己进行阶段性自我评价并登记。</w:t>
            </w:r>
          </w:p>
        </w:tc>
      </w:tr>
      <w:tr w14:paraId="33F9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45F9FB96">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55137DEC">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6350219C">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7642065C">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支持选择考评阶段</w:t>
            </w:r>
          </w:p>
        </w:tc>
      </w:tr>
      <w:tr w14:paraId="264C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6A9485BD">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39F13E31">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6E73289A">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02933FCE">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支持自动汇总当前考评人考评事件数</w:t>
            </w:r>
          </w:p>
        </w:tc>
      </w:tr>
      <w:tr w14:paraId="53E2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BD0B1AA">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48E90E46">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5C923CF3">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2AB59A6C">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支持查看当前考评人具体考评事件信息</w:t>
            </w:r>
          </w:p>
        </w:tc>
      </w:tr>
      <w:tr w14:paraId="6EBB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31DEFEE">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101E9369">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6B657B41">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3CE7A20C">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支持自动汇总本年度总得分、总加分、总扣分</w:t>
            </w:r>
          </w:p>
        </w:tc>
      </w:tr>
      <w:tr w14:paraId="4617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1EE2DCEC">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05EB368D">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3996B146">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3E750819">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支持暂存自我评价填写</w:t>
            </w:r>
          </w:p>
        </w:tc>
      </w:tr>
      <w:tr w14:paraId="5AB7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39B0020F">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01702CF9">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5592B5DF">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1196E734">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支持打印表单</w:t>
            </w:r>
          </w:p>
        </w:tc>
      </w:tr>
      <w:tr w14:paraId="6601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B3AF4A9">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1CCCFE75">
            <w:pPr>
              <w:spacing w:line="360" w:lineRule="auto"/>
              <w:jc w:val="center"/>
              <w:rPr>
                <w:rFonts w:hint="eastAsia" w:ascii="宋体" w:hAnsi="宋体" w:eastAsia="宋体" w:cs="宋体"/>
                <w:sz w:val="24"/>
                <w:szCs w:val="24"/>
                <w:vertAlign w:val="baseline"/>
                <w:lang w:val="en-US" w:eastAsia="zh-CN"/>
              </w:rPr>
            </w:pPr>
          </w:p>
        </w:tc>
        <w:tc>
          <w:tcPr>
            <w:tcW w:w="1500" w:type="dxa"/>
            <w:vMerge w:val="restart"/>
            <w:vAlign w:val="center"/>
          </w:tcPr>
          <w:p w14:paraId="236DAA1F">
            <w:pPr>
              <w:spacing w:line="36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科室对医务人员的阶段性评价</w:t>
            </w:r>
          </w:p>
        </w:tc>
        <w:tc>
          <w:tcPr>
            <w:tcW w:w="4457" w:type="dxa"/>
            <w:vAlign w:val="center"/>
          </w:tcPr>
          <w:p w14:paraId="70F411E2">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w:t>
            </w:r>
            <w:r>
              <w:rPr>
                <w:rFonts w:hint="eastAsia" w:ascii="宋体" w:hAnsi="宋体" w:eastAsia="宋体" w:cs="宋体"/>
                <w:b w:val="0"/>
                <w:bCs w:val="0"/>
                <w:sz w:val="24"/>
                <w:szCs w:val="24"/>
                <w:vertAlign w:val="baseline"/>
              </w:rPr>
              <w:t>科室参照医务人员的阶段性医德医风考评情况并在医务人员自我评价的基础上，站在科室的角度对其进行阶段性评价</w:t>
            </w:r>
          </w:p>
        </w:tc>
      </w:tr>
      <w:tr w14:paraId="2E17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7C4DCEE7">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298B31C6">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3347BAE7">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22DCCB21">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支持选择考评阶段</w:t>
            </w:r>
          </w:p>
        </w:tc>
      </w:tr>
      <w:tr w14:paraId="4529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3C9DE486">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52AA9B2D">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62A31F2F">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3A26A403">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支持查看本科室考评人员信息</w:t>
            </w:r>
          </w:p>
        </w:tc>
      </w:tr>
      <w:tr w14:paraId="5E14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35B6B23D">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77FE49E8">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2773141E">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690FB642">
            <w:pPr>
              <w:spacing w:line="360" w:lineRule="auto"/>
              <w:jc w:val="both"/>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支持查看本科室考评人员得分情况，包括总加分、总扣分、一票否决项</w:t>
            </w:r>
          </w:p>
        </w:tc>
      </w:tr>
      <w:tr w14:paraId="2446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6385E100">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37ABC70C">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35C7C6E2">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4519E4CF">
            <w:pPr>
              <w:spacing w:line="360" w:lineRule="auto"/>
              <w:jc w:val="both"/>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支持查看被考评人个人评语、科室评语</w:t>
            </w:r>
          </w:p>
        </w:tc>
      </w:tr>
      <w:tr w14:paraId="77EE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40CF6A51">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74544DFB">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6ACB15FD">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448761C6">
            <w:pPr>
              <w:spacing w:line="360"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rPr>
              <w:t>支持批量评价。</w:t>
            </w:r>
          </w:p>
        </w:tc>
      </w:tr>
      <w:tr w14:paraId="681D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3985611">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7EAF7D12">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72E2F5B4">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23265D64">
            <w:pPr>
              <w:spacing w:line="360"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支持查看医务人员每年度考评档案</w:t>
            </w:r>
          </w:p>
        </w:tc>
      </w:tr>
      <w:tr w14:paraId="014A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3CB9866">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2BA84A5C">
            <w:pPr>
              <w:spacing w:line="360" w:lineRule="auto"/>
              <w:jc w:val="center"/>
              <w:rPr>
                <w:rFonts w:hint="eastAsia" w:ascii="宋体" w:hAnsi="宋体" w:eastAsia="宋体" w:cs="宋体"/>
                <w:sz w:val="24"/>
                <w:szCs w:val="24"/>
                <w:vertAlign w:val="baseline"/>
                <w:lang w:val="en-US" w:eastAsia="zh-CN"/>
              </w:rPr>
            </w:pPr>
          </w:p>
        </w:tc>
        <w:tc>
          <w:tcPr>
            <w:tcW w:w="1500" w:type="dxa"/>
            <w:vMerge w:val="restart"/>
            <w:vAlign w:val="center"/>
          </w:tcPr>
          <w:p w14:paraId="3EEF29C2">
            <w:pPr>
              <w:spacing w:line="36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院级对医务人员的阶段性评价</w:t>
            </w:r>
          </w:p>
        </w:tc>
        <w:tc>
          <w:tcPr>
            <w:tcW w:w="4457" w:type="dxa"/>
            <w:vAlign w:val="center"/>
          </w:tcPr>
          <w:p w14:paraId="32B56F62">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w:t>
            </w:r>
            <w:r>
              <w:rPr>
                <w:rFonts w:hint="eastAsia" w:ascii="宋体" w:hAnsi="宋体" w:eastAsia="宋体" w:cs="宋体"/>
                <w:b w:val="0"/>
                <w:bCs w:val="0"/>
                <w:sz w:val="24"/>
                <w:szCs w:val="24"/>
                <w:vertAlign w:val="baseline"/>
              </w:rPr>
              <w:t>院级主管部门在医务人员自我评价和科室评价的基础上，综合患者满意度、日常检查监督、患者或群众反映、投诉举报、表扬奖励等情况，对相关人员进行阶段性评价，系统支持批量评价。</w:t>
            </w:r>
          </w:p>
        </w:tc>
      </w:tr>
      <w:tr w14:paraId="4CFA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BEFA7CA">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0C240547">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3501DE58">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44100D9A">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支持选择考评阶段</w:t>
            </w:r>
          </w:p>
        </w:tc>
      </w:tr>
      <w:tr w14:paraId="5D46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7281161E">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00C5B1B9">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609DEA2F">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1CDF3FF6">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支持查看全院被考评人员信息</w:t>
            </w:r>
          </w:p>
        </w:tc>
      </w:tr>
      <w:tr w14:paraId="2484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682D3ED6">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798BD559">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5100D6F4">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7D47F24D">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bidi="ar-SA"/>
              </w:rPr>
              <w:t>支持查看全院考评人员得分情况，包括总加分、总扣分、一票否决项</w:t>
            </w:r>
          </w:p>
        </w:tc>
      </w:tr>
      <w:tr w14:paraId="7CA4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1AD45856">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33550E3E">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257326BE">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08DF3827">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支持查看被考评人个人评语、科室评语、院级评语</w:t>
            </w:r>
          </w:p>
        </w:tc>
      </w:tr>
      <w:tr w14:paraId="352D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8CC616E">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1060E265">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3495425F">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2187E45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rPr>
              <w:t>支持批量评价。</w:t>
            </w:r>
          </w:p>
        </w:tc>
      </w:tr>
      <w:tr w14:paraId="1C25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48BDFD9A">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2DDB3BA2">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35238D7B">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72DD0123">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支持查看医务人员每年度考评档案</w:t>
            </w:r>
          </w:p>
        </w:tc>
      </w:tr>
      <w:tr w14:paraId="3C3C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399F8DC">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restart"/>
            <w:vAlign w:val="center"/>
          </w:tcPr>
          <w:p w14:paraId="385DC594">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年度考评</w:t>
            </w:r>
          </w:p>
        </w:tc>
        <w:tc>
          <w:tcPr>
            <w:tcW w:w="1500" w:type="dxa"/>
            <w:vMerge w:val="restart"/>
            <w:vAlign w:val="center"/>
          </w:tcPr>
          <w:p w14:paraId="2B454CC9">
            <w:pPr>
              <w:spacing w:line="36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年度考评</w:t>
            </w:r>
          </w:p>
        </w:tc>
        <w:tc>
          <w:tcPr>
            <w:tcW w:w="4457" w:type="dxa"/>
            <w:vAlign w:val="center"/>
          </w:tcPr>
          <w:p w14:paraId="678FD207">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支持选择考评阶段</w:t>
            </w:r>
          </w:p>
        </w:tc>
      </w:tr>
      <w:tr w14:paraId="1842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EC4927D">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76A1A9DC">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77E452E7">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08DD4730">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支持选择考评标准</w:t>
            </w:r>
          </w:p>
        </w:tc>
      </w:tr>
      <w:tr w14:paraId="12E6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732B8161">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08DD9D17">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44CA56E8">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66EDF37C">
            <w:pPr>
              <w:spacing w:line="360" w:lineRule="auto"/>
              <w:jc w:val="both"/>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支持查看全院被考评人员信息</w:t>
            </w:r>
          </w:p>
        </w:tc>
      </w:tr>
      <w:tr w14:paraId="7DAA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6BC09239">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17AC990B">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6185E9BA">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3B2E53FA">
            <w:pPr>
              <w:spacing w:line="360" w:lineRule="auto"/>
              <w:jc w:val="both"/>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支持查看全院考评人员得分情况，包括总加分、总扣分、一票否决项</w:t>
            </w:r>
          </w:p>
        </w:tc>
      </w:tr>
      <w:tr w14:paraId="587D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132000E6">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5E9639CB">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037B6DED">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110FF158">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支持系统将日常考评情况进行自动汇总、自动计算、自动定级</w:t>
            </w:r>
          </w:p>
        </w:tc>
      </w:tr>
      <w:tr w14:paraId="50F0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8C23235">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367FE027">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338235AE">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057B0994">
            <w:pPr>
              <w:spacing w:line="360" w:lineRule="auto"/>
              <w:jc w:val="both"/>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支持一键自动计算出每位医务人员的考核得分。</w:t>
            </w:r>
          </w:p>
        </w:tc>
      </w:tr>
      <w:tr w14:paraId="4CC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D03B39A">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6BD1DC1B">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78269B5A">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065A645D">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支持通过该功能对系统“推荐等级”进行调整，以达到公平合理的目的。</w:t>
            </w:r>
          </w:p>
        </w:tc>
      </w:tr>
      <w:tr w14:paraId="4792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1469F87D">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50CD6A2D">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7E849F38">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21B3EA0F">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支持根据医务人员考核得分自动推荐定级</w:t>
            </w:r>
          </w:p>
          <w:p w14:paraId="3877D233">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优秀：得分为200分及以上，且无扣分项；</w:t>
            </w:r>
          </w:p>
          <w:p w14:paraId="546D8DEA">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良好：得分为200分及以上为良好;</w:t>
            </w:r>
          </w:p>
          <w:p w14:paraId="3C2F031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一般：得分为100至200分以下为一般;</w:t>
            </w:r>
          </w:p>
          <w:p w14:paraId="785A147E">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较差：得分为100分以下或有一票否决项目的</w:t>
            </w:r>
          </w:p>
        </w:tc>
      </w:tr>
      <w:tr w14:paraId="0712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38FBC779">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40FC4FF7">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2F4BF822">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32C1867D">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支持“一键归档”进行封存纳入档案库，归档后的医德档案不允许进行修改。</w:t>
            </w:r>
          </w:p>
        </w:tc>
      </w:tr>
      <w:tr w14:paraId="6281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1EDF29C5">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3D5546D6">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150ADB66">
            <w:pPr>
              <w:spacing w:line="360" w:lineRule="auto"/>
              <w:jc w:val="center"/>
              <w:rPr>
                <w:rFonts w:hint="eastAsia" w:ascii="宋体" w:hAnsi="宋体" w:eastAsia="宋体" w:cs="宋体"/>
                <w:b w:val="0"/>
                <w:bCs w:val="0"/>
                <w:sz w:val="24"/>
                <w:szCs w:val="24"/>
                <w:vertAlign w:val="baseline"/>
              </w:rPr>
            </w:pPr>
          </w:p>
        </w:tc>
        <w:tc>
          <w:tcPr>
            <w:tcW w:w="4457" w:type="dxa"/>
            <w:vAlign w:val="center"/>
          </w:tcPr>
          <w:p w14:paraId="2C1EE2D7">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支持撤销归档</w:t>
            </w:r>
          </w:p>
        </w:tc>
      </w:tr>
      <w:tr w14:paraId="2BFD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400BCE7">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restart"/>
            <w:vAlign w:val="center"/>
          </w:tcPr>
          <w:p w14:paraId="56B1433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工作监督</w:t>
            </w:r>
          </w:p>
        </w:tc>
        <w:tc>
          <w:tcPr>
            <w:tcW w:w="1500" w:type="dxa"/>
            <w:vAlign w:val="center"/>
          </w:tcPr>
          <w:p w14:paraId="3D41B1B0">
            <w:pPr>
              <w:spacing w:line="36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全院日常考评监督</w:t>
            </w:r>
          </w:p>
        </w:tc>
        <w:tc>
          <w:tcPr>
            <w:tcW w:w="4457" w:type="dxa"/>
            <w:vAlign w:val="center"/>
          </w:tcPr>
          <w:p w14:paraId="217D3850">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支持管理部门可通过该功能监控全院医德医风考评工作情况并进行监督与审核，确保工作落实到位</w:t>
            </w:r>
          </w:p>
        </w:tc>
      </w:tr>
      <w:tr w14:paraId="30CE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49A157DC">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525BDA17">
            <w:pPr>
              <w:spacing w:line="360" w:lineRule="auto"/>
              <w:jc w:val="center"/>
              <w:rPr>
                <w:rFonts w:hint="eastAsia" w:ascii="宋体" w:hAnsi="宋体" w:eastAsia="宋体" w:cs="宋体"/>
                <w:sz w:val="24"/>
                <w:szCs w:val="24"/>
                <w:vertAlign w:val="baseline"/>
                <w:lang w:val="en-US" w:eastAsia="zh-CN"/>
              </w:rPr>
            </w:pPr>
          </w:p>
        </w:tc>
        <w:tc>
          <w:tcPr>
            <w:tcW w:w="1500" w:type="dxa"/>
            <w:vAlign w:val="center"/>
          </w:tcPr>
          <w:p w14:paraId="20680640">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阶段性评价监督</w:t>
            </w:r>
          </w:p>
        </w:tc>
        <w:tc>
          <w:tcPr>
            <w:tcW w:w="4457" w:type="dxa"/>
            <w:vAlign w:val="center"/>
          </w:tcPr>
          <w:p w14:paraId="1CD4C686">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支持管理部门通过该功能对个人评语、科室评语的填写情况进行监督</w:t>
            </w:r>
          </w:p>
        </w:tc>
      </w:tr>
      <w:tr w14:paraId="12D8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1CA6957">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5B43F3F3">
            <w:pPr>
              <w:spacing w:line="360" w:lineRule="auto"/>
              <w:jc w:val="center"/>
              <w:rPr>
                <w:rFonts w:hint="eastAsia" w:ascii="宋体" w:hAnsi="宋体" w:eastAsia="宋体" w:cs="宋体"/>
                <w:sz w:val="24"/>
                <w:szCs w:val="24"/>
                <w:vertAlign w:val="baseline"/>
                <w:lang w:val="en-US" w:eastAsia="zh-CN"/>
              </w:rPr>
            </w:pPr>
          </w:p>
        </w:tc>
        <w:tc>
          <w:tcPr>
            <w:tcW w:w="1500" w:type="dxa"/>
            <w:vAlign w:val="center"/>
          </w:tcPr>
          <w:p w14:paraId="5D0D6845">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科室总体考评情况监督</w:t>
            </w:r>
          </w:p>
        </w:tc>
        <w:tc>
          <w:tcPr>
            <w:tcW w:w="4457" w:type="dxa"/>
            <w:vAlign w:val="center"/>
          </w:tcPr>
          <w:p w14:paraId="26FD262B">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支持管理部门通过该功能查看各科室各等级的占比情况</w:t>
            </w:r>
          </w:p>
        </w:tc>
      </w:tr>
      <w:tr w14:paraId="79BC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4B25CBBF">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restart"/>
            <w:vAlign w:val="center"/>
          </w:tcPr>
          <w:p w14:paraId="3E51E03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医德医风档案管理</w:t>
            </w:r>
          </w:p>
        </w:tc>
        <w:tc>
          <w:tcPr>
            <w:tcW w:w="1500" w:type="dxa"/>
            <w:vMerge w:val="restart"/>
            <w:vAlign w:val="center"/>
          </w:tcPr>
          <w:p w14:paraId="00187DF9">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医德医风档案管理</w:t>
            </w:r>
          </w:p>
        </w:tc>
        <w:tc>
          <w:tcPr>
            <w:tcW w:w="4457" w:type="dxa"/>
            <w:vAlign w:val="center"/>
          </w:tcPr>
          <w:p w14:paraId="380FFB12">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支持选择考评年度，通过考评年度来管理档案</w:t>
            </w:r>
          </w:p>
        </w:tc>
      </w:tr>
      <w:tr w14:paraId="07D2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3B7A1BF7">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00282EDF">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38B526CE">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32E99FFC">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支持查看归档后的全院人员医德医风档案信息</w:t>
            </w:r>
          </w:p>
        </w:tc>
      </w:tr>
      <w:tr w14:paraId="2E23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8FD500E">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124D9384">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04589F43">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5A515119">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支持查看档案库中每一位医务人员历年的电子化医德医风考评信息，包括每年度的基本资料、考评事件详细、各阶段总结情况、年度结果</w:t>
            </w:r>
          </w:p>
        </w:tc>
      </w:tr>
      <w:tr w14:paraId="158C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B461C58">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43119895">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4ABC6F65">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128D9404">
            <w:pPr>
              <w:spacing w:line="360"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支持档案借出，由科室人员向管理部门进行申请并审批通过分配权限后才可查阅档案</w:t>
            </w:r>
          </w:p>
        </w:tc>
      </w:tr>
      <w:tr w14:paraId="16C3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E5A0BF7">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3BA0B7E7">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10E981BF">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29A43E58">
            <w:pPr>
              <w:spacing w:line="360" w:lineRule="auto"/>
              <w:jc w:val="both"/>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支持查看借出中的档案</w:t>
            </w:r>
          </w:p>
        </w:tc>
      </w:tr>
      <w:tr w14:paraId="16E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7991D606">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6F98A592">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5CAE0736">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74A5678B">
            <w:pPr>
              <w:spacing w:line="360"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支持自动记录档案查阅日志</w:t>
            </w:r>
          </w:p>
        </w:tc>
      </w:tr>
      <w:tr w14:paraId="4736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751549F4">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7B67D022">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785334E7">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6BD6C3C4">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支持医德医风管理部门可以进行批量纸质格式化打印，以满足有关纸质输出要求 </w:t>
            </w:r>
          </w:p>
        </w:tc>
      </w:tr>
      <w:tr w14:paraId="2D4F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4D5D260">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47CE7EE2">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0208D74E">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5950B653">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支持撤销当前年度的档案归档</w:t>
            </w:r>
          </w:p>
        </w:tc>
      </w:tr>
      <w:tr w14:paraId="6F2F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35962792">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7D3DB3D3">
            <w:pPr>
              <w:spacing w:line="360" w:lineRule="auto"/>
              <w:jc w:val="center"/>
              <w:rPr>
                <w:rFonts w:hint="eastAsia" w:ascii="宋体" w:hAnsi="宋体" w:eastAsia="宋体" w:cs="宋体"/>
                <w:sz w:val="24"/>
                <w:szCs w:val="24"/>
                <w:vertAlign w:val="baseline"/>
                <w:lang w:val="en-US" w:eastAsia="zh-CN"/>
              </w:rPr>
            </w:pPr>
          </w:p>
        </w:tc>
        <w:tc>
          <w:tcPr>
            <w:tcW w:w="1500" w:type="dxa"/>
            <w:vMerge w:val="restart"/>
            <w:vAlign w:val="center"/>
          </w:tcPr>
          <w:p w14:paraId="17248F32">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借阅档案查询</w:t>
            </w:r>
          </w:p>
        </w:tc>
        <w:tc>
          <w:tcPr>
            <w:tcW w:w="4457" w:type="dxa"/>
            <w:vAlign w:val="center"/>
          </w:tcPr>
          <w:p w14:paraId="443AA40F">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支持科室人员向管理部门进行申请并审批通过分配权限后查阅档案</w:t>
            </w:r>
          </w:p>
        </w:tc>
      </w:tr>
      <w:tr w14:paraId="20F7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47F1EB54">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46038FA7">
            <w:pPr>
              <w:spacing w:line="360" w:lineRule="auto"/>
              <w:jc w:val="center"/>
              <w:rPr>
                <w:rFonts w:hint="eastAsia" w:ascii="宋体" w:hAnsi="宋体" w:eastAsia="宋体" w:cs="宋体"/>
                <w:sz w:val="24"/>
                <w:szCs w:val="24"/>
                <w:vertAlign w:val="baseline"/>
                <w:lang w:val="en-US" w:eastAsia="zh-CN"/>
              </w:rPr>
            </w:pPr>
          </w:p>
        </w:tc>
        <w:tc>
          <w:tcPr>
            <w:tcW w:w="1500" w:type="dxa"/>
            <w:vMerge w:val="continue"/>
            <w:vAlign w:val="center"/>
          </w:tcPr>
          <w:p w14:paraId="7DBF6EF2">
            <w:pPr>
              <w:spacing w:line="360" w:lineRule="auto"/>
              <w:jc w:val="center"/>
              <w:rPr>
                <w:rFonts w:hint="eastAsia" w:ascii="宋体" w:hAnsi="宋体" w:eastAsia="宋体" w:cs="宋体"/>
                <w:b w:val="0"/>
                <w:bCs w:val="0"/>
                <w:sz w:val="24"/>
                <w:szCs w:val="24"/>
                <w:vertAlign w:val="baseline"/>
                <w:lang w:val="en-US" w:eastAsia="zh-CN"/>
              </w:rPr>
            </w:pPr>
          </w:p>
        </w:tc>
        <w:tc>
          <w:tcPr>
            <w:tcW w:w="4457" w:type="dxa"/>
            <w:vAlign w:val="center"/>
          </w:tcPr>
          <w:p w14:paraId="3DF5EFD9">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系统自动记录查阅日志</w:t>
            </w:r>
          </w:p>
        </w:tc>
      </w:tr>
      <w:tr w14:paraId="7EC2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FBE778C">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restart"/>
            <w:vAlign w:val="center"/>
          </w:tcPr>
          <w:p w14:paraId="5F1774A3">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查询统计</w:t>
            </w:r>
          </w:p>
        </w:tc>
        <w:tc>
          <w:tcPr>
            <w:tcW w:w="1500" w:type="dxa"/>
            <w:vAlign w:val="center"/>
          </w:tcPr>
          <w:p w14:paraId="09BE6C89">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日常评价信息查询</w:t>
            </w:r>
          </w:p>
        </w:tc>
        <w:tc>
          <w:tcPr>
            <w:tcW w:w="4457" w:type="dxa"/>
            <w:vAlign w:val="center"/>
          </w:tcPr>
          <w:p w14:paraId="716FB873">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支持管理部门可通过该报表查看全院所有人员的日常考评详细，包括事件编号、事件名称、事件经过、事件发生时间、考评科室、考评类型、加分、扣分、一票否决项等</w:t>
            </w:r>
          </w:p>
        </w:tc>
      </w:tr>
      <w:tr w14:paraId="005E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1A5E661E">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734A5791">
            <w:pPr>
              <w:spacing w:line="360" w:lineRule="auto"/>
              <w:jc w:val="both"/>
              <w:rPr>
                <w:rFonts w:hint="eastAsia" w:ascii="宋体" w:hAnsi="宋体" w:eastAsia="宋体" w:cs="宋体"/>
                <w:sz w:val="24"/>
                <w:szCs w:val="24"/>
                <w:vertAlign w:val="baseline"/>
                <w:lang w:val="en-US" w:eastAsia="zh-CN"/>
              </w:rPr>
            </w:pPr>
          </w:p>
        </w:tc>
        <w:tc>
          <w:tcPr>
            <w:tcW w:w="1500" w:type="dxa"/>
            <w:vAlign w:val="center"/>
          </w:tcPr>
          <w:p w14:paraId="27E7AAB4">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阶段性评价内容查询</w:t>
            </w:r>
          </w:p>
        </w:tc>
        <w:tc>
          <w:tcPr>
            <w:tcW w:w="4457" w:type="dxa"/>
            <w:vAlign w:val="center"/>
          </w:tcPr>
          <w:p w14:paraId="059FC1C9">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支持管理部门可通过该报表查看全院所有人员的自我评价、科室评价内容</w:t>
            </w:r>
          </w:p>
        </w:tc>
      </w:tr>
      <w:tr w14:paraId="1B52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8AA1527">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427B0E9D">
            <w:pPr>
              <w:spacing w:line="360" w:lineRule="auto"/>
              <w:jc w:val="both"/>
              <w:rPr>
                <w:rFonts w:hint="eastAsia" w:ascii="宋体" w:hAnsi="宋体" w:eastAsia="宋体" w:cs="宋体"/>
                <w:sz w:val="24"/>
                <w:szCs w:val="24"/>
                <w:vertAlign w:val="baseline"/>
                <w:lang w:val="en-US" w:eastAsia="zh-CN"/>
              </w:rPr>
            </w:pPr>
          </w:p>
        </w:tc>
        <w:tc>
          <w:tcPr>
            <w:tcW w:w="1500" w:type="dxa"/>
            <w:vAlign w:val="center"/>
          </w:tcPr>
          <w:p w14:paraId="606F5F76">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年度考评结果查询</w:t>
            </w:r>
          </w:p>
        </w:tc>
        <w:tc>
          <w:tcPr>
            <w:tcW w:w="4457" w:type="dxa"/>
            <w:vAlign w:val="center"/>
          </w:tcPr>
          <w:p w14:paraId="353E3F4F">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支持管理部门可通过该报表查看全院所有人员的考评总体情况</w:t>
            </w:r>
          </w:p>
        </w:tc>
      </w:tr>
      <w:tr w14:paraId="7AFD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B092E48">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518B94DC">
            <w:pPr>
              <w:spacing w:line="360" w:lineRule="auto"/>
              <w:jc w:val="both"/>
              <w:rPr>
                <w:rFonts w:hint="eastAsia" w:ascii="宋体" w:hAnsi="宋体" w:eastAsia="宋体" w:cs="宋体"/>
                <w:sz w:val="24"/>
                <w:szCs w:val="24"/>
                <w:vertAlign w:val="baseline"/>
                <w:lang w:val="en-US" w:eastAsia="zh-CN"/>
              </w:rPr>
            </w:pPr>
          </w:p>
        </w:tc>
        <w:tc>
          <w:tcPr>
            <w:tcW w:w="1500" w:type="dxa"/>
            <w:vAlign w:val="center"/>
          </w:tcPr>
          <w:p w14:paraId="61D7B81F">
            <w:pPr>
              <w:spacing w:line="360" w:lineRule="auto"/>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科室优秀人员占比分析</w:t>
            </w:r>
          </w:p>
        </w:tc>
        <w:tc>
          <w:tcPr>
            <w:tcW w:w="4457" w:type="dxa"/>
            <w:vAlign w:val="center"/>
          </w:tcPr>
          <w:p w14:paraId="50862D9F">
            <w:pPr>
              <w:spacing w:line="360"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支持管理部门可通过该报表查看各科室优秀、良好、一般、较差各级别的人数及占比情况</w:t>
            </w:r>
          </w:p>
        </w:tc>
      </w:tr>
      <w:tr w14:paraId="2B81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7A9B93B4">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17622AE6">
            <w:pPr>
              <w:spacing w:line="360" w:lineRule="auto"/>
              <w:jc w:val="both"/>
              <w:rPr>
                <w:rFonts w:hint="eastAsia" w:ascii="宋体" w:hAnsi="宋体" w:eastAsia="宋体" w:cs="宋体"/>
                <w:sz w:val="24"/>
                <w:szCs w:val="24"/>
                <w:vertAlign w:val="baseline"/>
                <w:lang w:val="en-US" w:eastAsia="zh-CN"/>
              </w:rPr>
            </w:pPr>
          </w:p>
        </w:tc>
        <w:tc>
          <w:tcPr>
            <w:tcW w:w="1500" w:type="dxa"/>
            <w:vAlign w:val="center"/>
          </w:tcPr>
          <w:p w14:paraId="56B50617">
            <w:pPr>
              <w:spacing w:line="360" w:lineRule="auto"/>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全院考评等级分析</w:t>
            </w:r>
          </w:p>
        </w:tc>
        <w:tc>
          <w:tcPr>
            <w:tcW w:w="4457" w:type="dxa"/>
            <w:vAlign w:val="center"/>
          </w:tcPr>
          <w:p w14:paraId="6A635F80">
            <w:pPr>
              <w:spacing w:line="360" w:lineRule="auto"/>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支持管理部门可通过该报表查看全院优秀、良好、一般、较差各级别的人数及占比情况，从全院整体角度对优秀率进行把控</w:t>
            </w:r>
          </w:p>
        </w:tc>
      </w:tr>
      <w:tr w14:paraId="322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F9B00FD">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restart"/>
            <w:vAlign w:val="center"/>
          </w:tcPr>
          <w:p w14:paraId="414D029E">
            <w:pPr>
              <w:spacing w:line="360" w:lineRule="auto"/>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移动端</w:t>
            </w:r>
          </w:p>
        </w:tc>
        <w:tc>
          <w:tcPr>
            <w:tcW w:w="1500" w:type="dxa"/>
            <w:vAlign w:val="center"/>
          </w:tcPr>
          <w:p w14:paraId="5E7163AE">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科室日常考评</w:t>
            </w:r>
          </w:p>
        </w:tc>
        <w:tc>
          <w:tcPr>
            <w:tcW w:w="4457" w:type="dxa"/>
            <w:vAlign w:val="center"/>
          </w:tcPr>
          <w:p w14:paraId="0B898BA7">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由科室考评员对本科室人员进行日常考评</w:t>
            </w:r>
          </w:p>
        </w:tc>
      </w:tr>
      <w:tr w14:paraId="2D14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1CA0730">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0E4C19EE">
            <w:pPr>
              <w:spacing w:line="360" w:lineRule="auto"/>
              <w:jc w:val="both"/>
              <w:rPr>
                <w:rFonts w:hint="eastAsia" w:ascii="宋体" w:hAnsi="宋体" w:eastAsia="宋体" w:cs="宋体"/>
                <w:sz w:val="24"/>
                <w:szCs w:val="24"/>
                <w:vertAlign w:val="baseline"/>
                <w:lang w:val="en-US" w:eastAsia="zh-CN"/>
              </w:rPr>
            </w:pPr>
          </w:p>
        </w:tc>
        <w:tc>
          <w:tcPr>
            <w:tcW w:w="1500" w:type="dxa"/>
            <w:vAlign w:val="center"/>
          </w:tcPr>
          <w:p w14:paraId="472FE28B">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职能部门日常考评</w:t>
            </w:r>
          </w:p>
        </w:tc>
        <w:tc>
          <w:tcPr>
            <w:tcW w:w="4457" w:type="dxa"/>
            <w:vAlign w:val="center"/>
          </w:tcPr>
          <w:p w14:paraId="61F0E140">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由职能部门对全院人员进行日常考评</w:t>
            </w:r>
          </w:p>
        </w:tc>
      </w:tr>
      <w:tr w14:paraId="4603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17C96244">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vAlign w:val="center"/>
          </w:tcPr>
          <w:p w14:paraId="60B50A2F">
            <w:pPr>
              <w:spacing w:line="360" w:lineRule="auto"/>
              <w:jc w:val="both"/>
              <w:rPr>
                <w:rFonts w:hint="eastAsia" w:ascii="宋体" w:hAnsi="宋体" w:eastAsia="宋体" w:cs="宋体"/>
                <w:sz w:val="24"/>
                <w:szCs w:val="24"/>
                <w:vertAlign w:val="baseline"/>
                <w:lang w:val="en-US" w:eastAsia="zh-CN"/>
              </w:rPr>
            </w:pPr>
          </w:p>
        </w:tc>
        <w:tc>
          <w:tcPr>
            <w:tcW w:w="1500" w:type="dxa"/>
            <w:vMerge w:val="restart"/>
            <w:vAlign w:val="center"/>
          </w:tcPr>
          <w:p w14:paraId="1F88059D">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查询统计</w:t>
            </w:r>
          </w:p>
        </w:tc>
        <w:tc>
          <w:tcPr>
            <w:tcW w:w="4457" w:type="dxa"/>
            <w:shd w:val="clear" w:color="auto" w:fill="auto"/>
            <w:vAlign w:val="center"/>
          </w:tcPr>
          <w:p w14:paraId="0B8DC3EE">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支持日常评价信息查询</w:t>
            </w:r>
          </w:p>
        </w:tc>
      </w:tr>
      <w:tr w14:paraId="4FDB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2984CBF0">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tcPr>
          <w:p w14:paraId="35F264C8">
            <w:pPr>
              <w:spacing w:line="360" w:lineRule="auto"/>
              <w:jc w:val="both"/>
              <w:rPr>
                <w:rFonts w:hint="eastAsia" w:ascii="宋体" w:hAnsi="宋体" w:eastAsia="宋体" w:cs="宋体"/>
                <w:sz w:val="24"/>
                <w:szCs w:val="24"/>
                <w:vertAlign w:val="baseline"/>
                <w:lang w:val="en-US" w:eastAsia="zh-CN"/>
              </w:rPr>
            </w:pPr>
          </w:p>
        </w:tc>
        <w:tc>
          <w:tcPr>
            <w:tcW w:w="1500" w:type="dxa"/>
            <w:vMerge w:val="continue"/>
          </w:tcPr>
          <w:p w14:paraId="6174B13E">
            <w:pPr>
              <w:spacing w:line="360" w:lineRule="auto"/>
              <w:jc w:val="center"/>
              <w:rPr>
                <w:rFonts w:hint="default" w:ascii="宋体" w:hAnsi="宋体" w:eastAsia="宋体" w:cs="宋体"/>
                <w:b w:val="0"/>
                <w:bCs w:val="0"/>
                <w:sz w:val="24"/>
                <w:szCs w:val="24"/>
                <w:vertAlign w:val="baseline"/>
                <w:lang w:val="en-US" w:eastAsia="zh-CN"/>
              </w:rPr>
            </w:pPr>
          </w:p>
        </w:tc>
        <w:tc>
          <w:tcPr>
            <w:tcW w:w="0" w:type="auto"/>
            <w:shd w:val="clear" w:color="auto" w:fill="auto"/>
            <w:vAlign w:val="center"/>
          </w:tcPr>
          <w:p w14:paraId="7183381D">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支持阶段性评价内容查询</w:t>
            </w:r>
          </w:p>
        </w:tc>
      </w:tr>
      <w:tr w14:paraId="7107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94999B0">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tcPr>
          <w:p w14:paraId="307A09EE">
            <w:pPr>
              <w:spacing w:line="360" w:lineRule="auto"/>
              <w:jc w:val="both"/>
              <w:rPr>
                <w:rFonts w:hint="eastAsia" w:ascii="宋体" w:hAnsi="宋体" w:eastAsia="宋体" w:cs="宋体"/>
                <w:sz w:val="24"/>
                <w:szCs w:val="24"/>
                <w:vertAlign w:val="baseline"/>
                <w:lang w:val="en-US" w:eastAsia="zh-CN"/>
              </w:rPr>
            </w:pPr>
          </w:p>
        </w:tc>
        <w:tc>
          <w:tcPr>
            <w:tcW w:w="1500" w:type="dxa"/>
            <w:vMerge w:val="continue"/>
          </w:tcPr>
          <w:p w14:paraId="2DB4156E">
            <w:pPr>
              <w:spacing w:line="360" w:lineRule="auto"/>
              <w:jc w:val="center"/>
              <w:rPr>
                <w:rFonts w:hint="default" w:ascii="宋体" w:hAnsi="宋体" w:eastAsia="宋体" w:cs="宋体"/>
                <w:b w:val="0"/>
                <w:bCs w:val="0"/>
                <w:sz w:val="24"/>
                <w:szCs w:val="24"/>
                <w:vertAlign w:val="baseline"/>
                <w:lang w:val="en-US" w:eastAsia="zh-CN"/>
              </w:rPr>
            </w:pPr>
          </w:p>
        </w:tc>
        <w:tc>
          <w:tcPr>
            <w:tcW w:w="0" w:type="auto"/>
            <w:shd w:val="clear" w:color="auto" w:fill="auto"/>
            <w:vAlign w:val="center"/>
          </w:tcPr>
          <w:p w14:paraId="1C56EF03">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支持年度考评结果查询</w:t>
            </w:r>
          </w:p>
        </w:tc>
      </w:tr>
      <w:tr w14:paraId="5F35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27B73C1C">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tcPr>
          <w:p w14:paraId="01492035">
            <w:pPr>
              <w:spacing w:line="360" w:lineRule="auto"/>
              <w:jc w:val="both"/>
              <w:rPr>
                <w:rFonts w:hint="eastAsia" w:ascii="宋体" w:hAnsi="宋体" w:eastAsia="宋体" w:cs="宋体"/>
                <w:sz w:val="24"/>
                <w:szCs w:val="24"/>
                <w:vertAlign w:val="baseline"/>
                <w:lang w:val="en-US" w:eastAsia="zh-CN"/>
              </w:rPr>
            </w:pPr>
          </w:p>
        </w:tc>
        <w:tc>
          <w:tcPr>
            <w:tcW w:w="1500" w:type="dxa"/>
            <w:vMerge w:val="continue"/>
          </w:tcPr>
          <w:p w14:paraId="2D05E11A">
            <w:pPr>
              <w:spacing w:line="360" w:lineRule="auto"/>
              <w:jc w:val="center"/>
              <w:rPr>
                <w:rFonts w:hint="default" w:ascii="宋体" w:hAnsi="宋体" w:eastAsia="宋体" w:cs="宋体"/>
                <w:b w:val="0"/>
                <w:bCs w:val="0"/>
                <w:sz w:val="24"/>
                <w:szCs w:val="24"/>
                <w:vertAlign w:val="baseline"/>
                <w:lang w:val="en-US" w:eastAsia="zh-CN"/>
              </w:rPr>
            </w:pPr>
          </w:p>
        </w:tc>
        <w:tc>
          <w:tcPr>
            <w:tcW w:w="0" w:type="auto"/>
            <w:shd w:val="clear" w:color="auto" w:fill="auto"/>
            <w:vAlign w:val="center"/>
          </w:tcPr>
          <w:p w14:paraId="1A70A3DF">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支持科室优秀人员占比分析</w:t>
            </w:r>
          </w:p>
        </w:tc>
      </w:tr>
      <w:tr w14:paraId="2E5A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3624B36">
            <w:pPr>
              <w:keepNext w:val="0"/>
              <w:keepLines w:val="0"/>
              <w:widowControl/>
              <w:numPr>
                <w:ilvl w:val="0"/>
                <w:numId w:val="1"/>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lang w:val="en-US" w:eastAsia="zh-CN"/>
              </w:rPr>
            </w:pPr>
          </w:p>
        </w:tc>
        <w:tc>
          <w:tcPr>
            <w:tcW w:w="1285" w:type="dxa"/>
            <w:vMerge w:val="continue"/>
          </w:tcPr>
          <w:p w14:paraId="22311218">
            <w:pPr>
              <w:spacing w:line="360" w:lineRule="auto"/>
              <w:jc w:val="both"/>
              <w:rPr>
                <w:rFonts w:hint="eastAsia" w:ascii="宋体" w:hAnsi="宋体" w:eastAsia="宋体" w:cs="宋体"/>
                <w:sz w:val="24"/>
                <w:szCs w:val="24"/>
                <w:vertAlign w:val="baseline"/>
                <w:lang w:val="en-US" w:eastAsia="zh-CN"/>
              </w:rPr>
            </w:pPr>
          </w:p>
        </w:tc>
        <w:tc>
          <w:tcPr>
            <w:tcW w:w="1500" w:type="dxa"/>
            <w:vMerge w:val="continue"/>
          </w:tcPr>
          <w:p w14:paraId="5883891E">
            <w:pPr>
              <w:spacing w:line="360" w:lineRule="auto"/>
              <w:jc w:val="center"/>
              <w:rPr>
                <w:rFonts w:hint="default" w:ascii="宋体" w:hAnsi="宋体" w:eastAsia="宋体" w:cs="宋体"/>
                <w:b w:val="0"/>
                <w:bCs w:val="0"/>
                <w:sz w:val="24"/>
                <w:szCs w:val="24"/>
                <w:vertAlign w:val="baseline"/>
                <w:lang w:val="en-US" w:eastAsia="zh-CN"/>
              </w:rPr>
            </w:pPr>
          </w:p>
        </w:tc>
        <w:tc>
          <w:tcPr>
            <w:tcW w:w="0" w:type="auto"/>
            <w:shd w:val="clear" w:color="auto" w:fill="auto"/>
            <w:vAlign w:val="center"/>
          </w:tcPr>
          <w:p w14:paraId="2C37C842">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支持全院考评等级分析</w:t>
            </w:r>
          </w:p>
        </w:tc>
      </w:tr>
    </w:tbl>
    <w:p w14:paraId="659BAF16">
      <w:pPr>
        <w:rPr>
          <w:rFonts w:hint="default" w:eastAsiaTheme="minorEastAsia"/>
          <w:sz w:val="22"/>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6688A"/>
    <w:multiLevelType w:val="singleLevel"/>
    <w:tmpl w:val="F686688A"/>
    <w:lvl w:ilvl="0" w:tentative="0">
      <w:start w:val="1"/>
      <w:numFmt w:val="decimal"/>
      <w:suff w:val="nothing"/>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E0F4DB7"/>
    <w:rsid w:val="259349E1"/>
    <w:rsid w:val="2BEB068E"/>
    <w:rsid w:val="30C3638E"/>
    <w:rsid w:val="379D4C4A"/>
    <w:rsid w:val="499A5B62"/>
    <w:rsid w:val="552352AB"/>
    <w:rsid w:val="79702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2130</Words>
  <Characters>2140</Characters>
  <Lines>0</Lines>
  <Paragraphs>0</Paragraphs>
  <TotalTime>3</TotalTime>
  <ScaleCrop>false</ScaleCrop>
  <LinksUpToDate>false</LinksUpToDate>
  <CharactersWithSpaces>2141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2020-08-30T21:01:00Z</dcterms:created>
  <dc:creator>Lenovo</dc:creator>
  <cp:lastModifiedBy>刘瑞明</cp:lastModifiedBy>
  <dcterms:modified xsi:type="dcterms:W3CDTF">2025-08-15T01:18:43Z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0A7C059153674569A601F421797DF1AF_13</vt:lpwstr>
  </property>
  <property fmtid="{D5CDD505-2E9C-101B-9397-08002B2CF9AE}" pid="4" name="KSOTemplateDocerSaveRecord">
    <vt:lpwstr>eyJoZGlkIjoiY2NlNzdlZDExNzkyZDBlMGU4NzhhNGUxNzU5NGEyMmYiLCJ1c2VySWQiOiI3ODU4NTUzNzgifQ==</vt:lpwstr>
  </property>
</Properties>
</file>